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45.png" ContentType="image/png"/>
  <Override PartName="/word/media/rId46.png" ContentType="image/png"/>
  <Override PartName="/word/media/rId28.png" ContentType="image/png"/>
  <Override PartName="/word/media/rId32.png" ContentType="image/png"/>
  <Override PartName="/word/media/rId33.png" ContentType="image/png"/>
  <Override PartName="/word/media/rId34.png" ContentType="image/png"/>
  <Override PartName="/word/media/rId54.png" ContentType="image/png"/>
  <Override PartName="/word/media/rId48.png" ContentType="image/png"/>
  <Override PartName="/word/media/rId56.png" ContentType="image/png"/>
  <Override PartName="/word/media/rId57.png" ContentType="image/png"/>
  <Override PartName="/word/media/rId51.png" ContentType="image/png"/>
  <Override PartName="/word/media/rId52.png" ContentType="image/png"/>
  <Override PartName="/word/media/rId37.png" ContentType="image/png"/>
  <Override PartName="/word/media/rId38.png" ContentType="image/png"/>
  <Override PartName="/word/media/rId39.png" ContentType="image/png"/>
  <Override PartName="/word/media/rId60.png" ContentType="image/png"/>
  <Override PartName="/word/media/rId61.png" ContentType="image/png"/>
  <Override PartName="/word/media/rId63.png" ContentType="image/png"/>
  <Override PartName="/word/media/rId64.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Chapter</w:t>
      </w:r>
      <w:r>
        <w:t xml:space="preserve"> </w:t>
      </w:r>
      <w:r>
        <w:t xml:space="preserve">II:</w:t>
      </w:r>
      <w:r>
        <w:t xml:space="preserve"> </w:t>
      </w:r>
      <w:r>
        <w:t xml:space="preserve">Methods</w:t>
      </w:r>
      <w:r>
        <w:t xml:space="preserve"> </w:t>
      </w:r>
      <w:r>
        <w:t xml:space="preserve">for</w:t>
      </w:r>
      <w:r>
        <w:t xml:space="preserve"> </w:t>
      </w:r>
      <w:r>
        <w:t xml:space="preserve">Microbial</w:t>
      </w:r>
      <w:r>
        <w:t xml:space="preserve"> </w:t>
      </w:r>
      <w:r>
        <w:t xml:space="preserve">Genome</w:t>
      </w:r>
      <w:r>
        <w:t xml:space="preserve"> </w:t>
      </w:r>
      <w:r>
        <w:t xml:space="preserve">Reconstruction</w:t>
      </w:r>
      <w:r>
        <w:t xml:space="preserve"> </w:t>
      </w:r>
      <w:r>
        <w:t xml:space="preserve">from</w:t>
      </w:r>
      <w:r>
        <w:t xml:space="preserve"> </w:t>
      </w:r>
      <w:r>
        <w:t xml:space="preserve">Ancient</w:t>
      </w:r>
      <w:r>
        <w:t xml:space="preserve"> </w:t>
      </w:r>
      <w:r>
        <w:t xml:space="preserve">DNA</w:t>
      </w:r>
    </w:p>
    <w:p>
      <w:pPr>
        <w:pStyle w:val="Author"/>
      </w:pPr>
      <w:r>
        <w:t xml:space="preserve">Luis</w:t>
      </w:r>
      <w:r>
        <w:t xml:space="preserve"> </w:t>
      </w:r>
      <w:r>
        <w:t xml:space="preserve">A.</w:t>
      </w:r>
      <w:r>
        <w:t xml:space="preserve"> </w:t>
      </w:r>
      <w:r>
        <w:t xml:space="preserve">Arriola</w:t>
      </w:r>
    </w:p>
    <w:p>
      <w:pPr>
        <w:pStyle w:val="Date"/>
      </w:pPr>
      <w:r>
        <w:t xml:space="preserve">October</w:t>
      </w:r>
      <w:r>
        <w:t xml:space="preserve"> </w:t>
      </w:r>
      <w:r>
        <w:t xml:space="preserve">2017</w:t>
      </w:r>
    </w:p>
    <w:p>
      <w:pPr>
        <w:pStyle w:val="Heading1"/>
      </w:pPr>
      <w:bookmarkStart w:id="21" w:name="working-title-comparative-assessment-of-methods-for-reconstruction-of-whole-genomic-sequences-from-ancient-microbial-organisms"/>
      <w:bookmarkEnd w:id="21"/>
      <w:r>
        <w:t xml:space="preserve">Working Title: Comparative assessment of methods for reconstruction of whole genomic sequences from ancient microbial organisms</w:t>
      </w:r>
    </w:p>
    <w:p>
      <w:pPr>
        <w:pStyle w:val="Heading1"/>
      </w:pPr>
      <w:bookmarkStart w:id="22" w:name="abstract"/>
      <w:bookmarkEnd w:id="22"/>
      <w:r>
        <w:t xml:space="preserve">ABSTRACT</w:t>
      </w:r>
    </w:p>
    <w:p>
      <w:pPr>
        <w:pStyle w:val="FirstParagraph"/>
      </w:pPr>
      <w:r>
        <w:t xml:space="preserve">Technological and analytical advances in the last decade revolutionized the study of ancient microorganisms by allowing researchers to reconstruct draft genomes of historical pathogenic organisms. Reference mapping, using</w:t>
      </w:r>
      <w:r>
        <w:t xml:space="preserve"> </w:t>
      </w:r>
      <w:r>
        <w:rPr>
          <w:i/>
        </w:rPr>
        <w:t xml:space="preserve">BWA aln</w:t>
      </w:r>
      <w:r>
        <w:t xml:space="preserve"> </w:t>
      </w:r>
      <w:r>
        <w:t xml:space="preserve">with parameters optimized for ancient DNA (aDNA), is the preferred used algorithm for microbial genome reconstruction. However, the amount of information that this approach can recover is highly dependent on genomic sequences of modern organisms and presents certain limitations and biases. New mapping algorithms and alternative approaches, such as</w:t>
      </w:r>
      <w:r>
        <w:t xml:space="preserve"> </w:t>
      </w:r>
      <w:r>
        <w:rPr>
          <w:i/>
        </w:rPr>
        <w:t xml:space="preserve">de novo</w:t>
      </w:r>
      <w:r>
        <w:t xml:space="preserve"> </w:t>
      </w:r>
      <w:r>
        <w:t xml:space="preserve">assembly or iterative mapping, have shown promising results in reconstructing microbial and mitochondrial chromosomes and could help in the recovery of genomic information from highly divergent microbial organisms.</w:t>
      </w:r>
    </w:p>
    <w:p>
      <w:pPr>
        <w:pStyle w:val="BodyText"/>
      </w:pPr>
      <w:r>
        <w:t xml:space="preserve">Here we present a comparative assessment of methods for reconstruction of whole genomic sequences using simulated data mirroring conditions commonly found in ancient metagenomic datasets (contamination, damage, and divergence).</w:t>
      </w:r>
    </w:p>
    <w:p>
      <w:pPr>
        <w:pStyle w:val="BodyText"/>
      </w:pPr>
      <w:r>
        <w:t xml:space="preserve">Then, we use information about strengths and weaknesses of this tools to guide the reconstruction of the oldest ancient microbial genome draft (</w:t>
      </w:r>
      <w:r>
        <w:rPr>
          <w:i/>
        </w:rPr>
        <w:t xml:space="preserve">Methanobrevibacter oralis</w:t>
      </w:r>
      <w:r>
        <w:t xml:space="preserve"> </w:t>
      </w:r>
      <w:r>
        <w:t xml:space="preserve">subsp. neandertalensis), providing _ % more information with _% fewer errors.</w:t>
      </w:r>
    </w:p>
    <w:p>
      <w:pPr>
        <w:pStyle w:val="Heading1"/>
      </w:pPr>
      <w:bookmarkStart w:id="23" w:name="introduction"/>
      <w:bookmarkEnd w:id="23"/>
      <w:r>
        <w:t xml:space="preserve">INTRODUCTION</w:t>
      </w:r>
    </w:p>
    <w:p>
      <w:pPr>
        <w:pStyle w:val="FirstParagraph"/>
      </w:pPr>
      <w:r>
        <w:t xml:space="preserve">In recent years significant technological and analytical advances have revolutionized the study of ancient microbial organisms. High-throughput sequencing technologies, such as Illumina NGS and enrichment capture, have improved the recovery of endogenous DNA sequences of microorganisms hundreds to thousands of years old (Bos</w:t>
      </w:r>
      <w:r>
        <w:t xml:space="preserve"> </w:t>
      </w:r>
      <w:r>
        <w:rPr>
          <w:i/>
        </w:rPr>
        <w:t xml:space="preserve">et al.</w:t>
      </w:r>
      <w:r>
        <w:t xml:space="preserve">, 2011, 2016; Feldman</w:t>
      </w:r>
      <w:r>
        <w:t xml:space="preserve"> </w:t>
      </w:r>
      <w:r>
        <w:rPr>
          <w:i/>
        </w:rPr>
        <w:t xml:space="preserve">et al.</w:t>
      </w:r>
      <w:r>
        <w:t xml:space="preserve">, 2016; Hofreiter</w:t>
      </w:r>
      <w:r>
        <w:t xml:space="preserve"> </w:t>
      </w:r>
      <w:r>
        <w:rPr>
          <w:i/>
        </w:rPr>
        <w:t xml:space="preserve">et al.</w:t>
      </w:r>
      <w:r>
        <w:t xml:space="preserve">, 2015). However, few progress has been made in the approaches used to reconstruct and analyze whole genomic sequences of these organisms (Hofreiter</w:t>
      </w:r>
      <w:r>
        <w:t xml:space="preserve"> </w:t>
      </w:r>
      <w:r>
        <w:rPr>
          <w:i/>
        </w:rPr>
        <w:t xml:space="preserve">et al.</w:t>
      </w:r>
      <w:r>
        <w:t xml:space="preserve">, 2015; Parks and Lambert, 2015; Schubert</w:t>
      </w:r>
      <w:r>
        <w:t xml:space="preserve"> </w:t>
      </w:r>
      <w:r>
        <w:rPr>
          <w:i/>
        </w:rPr>
        <w:t xml:space="preserve">et al.</w:t>
      </w:r>
      <w:r>
        <w:t xml:space="preserve">, 2012). While single or multi-locus analyses offer a convenient approach to identify and classify organisms, they offer reduced power to resolve phylogenetic relationships, study the evolution and biology of an organism, and in some cases can lead to misleading results due to its low resolution (REF). On the other hand, genome-wide information recovered from historical sources provides important insights into the biology and evolution of ancient organisms (REF) as it allows researchers to identify organisms unambiguously, refine models, and test hypothesis created from current genetic or genomic data at a higher resolution (REF). Differences between genomes from the same species or closely related species are used to establish more detailed phylogenetic relations, calculate mutation rates, and identify patterns of adaptation and evolution over time at the individual and population level (Parks</w:t>
      </w:r>
      <w:r>
        <w:t xml:space="preserve"> </w:t>
      </w:r>
      <w:r>
        <w:rPr>
          <w:i/>
        </w:rPr>
        <w:t xml:space="preserve">et al.</w:t>
      </w:r>
      <w:r>
        <w:t xml:space="preserve">, 2015). Moreover, dated ancient genomic information adds a temporal dimension to genomic variation and provides details of the geographic distribution of the organisms in the past (REF).</w:t>
      </w:r>
    </w:p>
    <w:p>
      <w:pPr>
        <w:pStyle w:val="BodyText"/>
      </w:pPr>
      <w:r>
        <w:t xml:space="preserve">The reconstruction of a genomic sequence is a critical step in the study of an organism and its evolution since all downstream analyses, comparisons and inferences depend and will be affected by the quality and fidelity of it (Giese</w:t>
      </w:r>
      <w:r>
        <w:t xml:space="preserve"> </w:t>
      </w:r>
      <w:r>
        <w:rPr>
          <w:i/>
        </w:rPr>
        <w:t xml:space="preserve">et al.</w:t>
      </w:r>
      <w:r>
        <w:t xml:space="preserve">, 2014; Leonardi</w:t>
      </w:r>
      <w:r>
        <w:t xml:space="preserve"> </w:t>
      </w:r>
      <w:r>
        <w:rPr>
          <w:i/>
        </w:rPr>
        <w:t xml:space="preserve">et al.</w:t>
      </w:r>
      <w:r>
        <w:t xml:space="preserve">, 2016; Schubert</w:t>
      </w:r>
      <w:r>
        <w:t xml:space="preserve"> </w:t>
      </w:r>
      <w:r>
        <w:rPr>
          <w:i/>
        </w:rPr>
        <w:t xml:space="preserve">et al.</w:t>
      </w:r>
      <w:r>
        <w:t xml:space="preserve">, 2012). Currently, two main approaches are used to reconstruct whole microbial genomes from high-throughput sequencing (HTS) data: 'reference mapping' and '</w:t>
      </w:r>
      <w:r>
        <w:rPr>
          <w:i/>
        </w:rPr>
        <w:t xml:space="preserve">de novo</w:t>
      </w:r>
      <w:r>
        <w:t xml:space="preserve"> </w:t>
      </w:r>
      <w:r>
        <w:t xml:space="preserve">assembly' [REF]. Mapping assembly approaches use an already available reference sequence as a guide to locate and align fragments to their most likely locations based on sequence similarity. ‘</w:t>
      </w:r>
      <w:r>
        <w:rPr>
          <w:i/>
        </w:rPr>
        <w:t xml:space="preserve">De novo</w:t>
      </w:r>
      <w:r>
        <w:t xml:space="preserve"> </w:t>
      </w:r>
      <w:r>
        <w:t xml:space="preserve">assembly’ approaches, are reference-free reconstructions that match overlapping sequences to create longer contiguous DNA reads (contigs) (Hofreiter</w:t>
      </w:r>
      <w:r>
        <w:t xml:space="preserve"> </w:t>
      </w:r>
      <w:r>
        <w:rPr>
          <w:i/>
        </w:rPr>
        <w:t xml:space="preserve">et al.</w:t>
      </w:r>
      <w:r>
        <w:t xml:space="preserve">, 2015). In palaeomicrobiology (i.e., the study of ancient microbial organisms), the most widely used approach for whole genome reconstruction is reference mapping assembly. Using sequences from modern microbial organisms as references, researchers have been able to reconstruct draft genomic sequences from a variety of ancient microbial pathogens at various points in the past, including</w:t>
      </w:r>
      <w:r>
        <w:t xml:space="preserve"> </w:t>
      </w:r>
      <w:r>
        <w:rPr>
          <w:i/>
        </w:rPr>
        <w:t xml:space="preserve">Yersinia pestis</w:t>
      </w:r>
      <w:r>
        <w:t xml:space="preserve"> </w:t>
      </w:r>
      <w:r>
        <w:t xml:space="preserve">(Bos</w:t>
      </w:r>
      <w:r>
        <w:t xml:space="preserve"> </w:t>
      </w:r>
      <w:r>
        <w:rPr>
          <w:i/>
        </w:rPr>
        <w:t xml:space="preserve">et al.</w:t>
      </w:r>
      <w:r>
        <w:t xml:space="preserve">, 2011, 2016; Feldman</w:t>
      </w:r>
      <w:r>
        <w:t xml:space="preserve"> </w:t>
      </w:r>
      <w:r>
        <w:rPr>
          <w:i/>
        </w:rPr>
        <w:t xml:space="preserve">et al.</w:t>
      </w:r>
      <w:r>
        <w:t xml:space="preserve">, 2016; Rasmussen</w:t>
      </w:r>
      <w:r>
        <w:t xml:space="preserve"> </w:t>
      </w:r>
      <w:r>
        <w:rPr>
          <w:i/>
        </w:rPr>
        <w:t xml:space="preserve">et al.</w:t>
      </w:r>
      <w:r>
        <w:t xml:space="preserve">, 2015; Wagner</w:t>
      </w:r>
      <w:r>
        <w:t xml:space="preserve"> </w:t>
      </w:r>
      <w:r>
        <w:rPr>
          <w:i/>
        </w:rPr>
        <w:t xml:space="preserve">et al.</w:t>
      </w:r>
      <w:r>
        <w:t xml:space="preserve">, 2014),</w:t>
      </w:r>
      <w:r>
        <w:t xml:space="preserve"> </w:t>
      </w:r>
      <w:r>
        <w:rPr>
          <w:i/>
        </w:rPr>
        <w:t xml:space="preserve">Mycobacterium leprae</w:t>
      </w:r>
      <w:r>
        <w:t xml:space="preserve"> </w:t>
      </w:r>
      <w:r>
        <w:t xml:space="preserve">(Mendum</w:t>
      </w:r>
      <w:r>
        <w:t xml:space="preserve"> </w:t>
      </w:r>
      <w:r>
        <w:rPr>
          <w:i/>
        </w:rPr>
        <w:t xml:space="preserve">et al.</w:t>
      </w:r>
      <w:r>
        <w:t xml:space="preserve">, 2014; Schuenemann</w:t>
      </w:r>
      <w:r>
        <w:t xml:space="preserve"> </w:t>
      </w:r>
      <w:r>
        <w:rPr>
          <w:i/>
        </w:rPr>
        <w:t xml:space="preserve">et al.</w:t>
      </w:r>
      <w:r>
        <w:t xml:space="preserve">, 2013),</w:t>
      </w:r>
      <w:r>
        <w:t xml:space="preserve"> </w:t>
      </w:r>
      <w:r>
        <w:rPr>
          <w:i/>
        </w:rPr>
        <w:t xml:space="preserve">Mycobacterium tuberculosis</w:t>
      </w:r>
      <w:r>
        <w:t xml:space="preserve"> </w:t>
      </w:r>
      <w:r>
        <w:t xml:space="preserve">(Bos</w:t>
      </w:r>
      <w:r>
        <w:t xml:space="preserve"> </w:t>
      </w:r>
      <w:r>
        <w:rPr>
          <w:i/>
        </w:rPr>
        <w:t xml:space="preserve">et al.</w:t>
      </w:r>
      <w:r>
        <w:t xml:space="preserve">, 2014; Kay</w:t>
      </w:r>
      <w:r>
        <w:t xml:space="preserve"> </w:t>
      </w:r>
      <w:r>
        <w:rPr>
          <w:i/>
        </w:rPr>
        <w:t xml:space="preserve">et al.</w:t>
      </w:r>
      <w:r>
        <w:t xml:space="preserve">, 2015),</w:t>
      </w:r>
      <w:r>
        <w:t xml:space="preserve"> </w:t>
      </w:r>
      <w:r>
        <w:rPr>
          <w:i/>
        </w:rPr>
        <w:t xml:space="preserve">Helicobacter pylori</w:t>
      </w:r>
      <w:r>
        <w:t xml:space="preserve"> </w:t>
      </w:r>
      <w:r>
        <w:t xml:space="preserve">(Maixner</w:t>
      </w:r>
      <w:r>
        <w:t xml:space="preserve"> </w:t>
      </w:r>
      <w:r>
        <w:rPr>
          <w:i/>
        </w:rPr>
        <w:t xml:space="preserve">et al.</w:t>
      </w:r>
      <w:r>
        <w:t xml:space="preserve">, 2016),</w:t>
      </w:r>
      <w:r>
        <w:t xml:space="preserve"> </w:t>
      </w:r>
      <w:r>
        <w:rPr>
          <w:i/>
        </w:rPr>
        <w:t xml:space="preserve">Treponema denticola</w:t>
      </w:r>
      <w:r>
        <w:t xml:space="preserve"> </w:t>
      </w:r>
      <w:r>
        <w:t xml:space="preserve">(Maixner</w:t>
      </w:r>
      <w:r>
        <w:t xml:space="preserve"> </w:t>
      </w:r>
      <w:r>
        <w:rPr>
          <w:i/>
        </w:rPr>
        <w:t xml:space="preserve">et al.</w:t>
      </w:r>
      <w:r>
        <w:t xml:space="preserve">, 2014),</w:t>
      </w:r>
      <w:r>
        <w:t xml:space="preserve"> </w:t>
      </w:r>
      <w:r>
        <w:rPr>
          <w:i/>
        </w:rPr>
        <w:t xml:space="preserve">Brucella melitensis</w:t>
      </w:r>
      <w:r>
        <w:t xml:space="preserve"> </w:t>
      </w:r>
      <w:r>
        <w:t xml:space="preserve">(Kay</w:t>
      </w:r>
      <w:r>
        <w:t xml:space="preserve"> </w:t>
      </w:r>
      <w:r>
        <w:rPr>
          <w:i/>
        </w:rPr>
        <w:t xml:space="preserve">et al.</w:t>
      </w:r>
      <w:r>
        <w:t xml:space="preserve">, 2014), and</w:t>
      </w:r>
      <w:r>
        <w:t xml:space="preserve"> </w:t>
      </w:r>
      <w:r>
        <w:rPr>
          <w:i/>
        </w:rPr>
        <w:t xml:space="preserve">Methanobrevibacter oralis</w:t>
      </w:r>
      <w:r>
        <w:t xml:space="preserve"> </w:t>
      </w:r>
      <w:r>
        <w:t xml:space="preserve">subsp. neandertalensis (Weyrich</w:t>
      </w:r>
      <w:r>
        <w:t xml:space="preserve"> </w:t>
      </w:r>
      <w:r>
        <w:rPr>
          <w:i/>
        </w:rPr>
        <w:t xml:space="preserve">et al.</w:t>
      </w:r>
      <w:r>
        <w:t xml:space="preserve">, 2017). The reference mapping assembly approach is advantageous because it works well with low abundance and short fragment lengths characteristic of aDNA (Dabney</w:t>
      </w:r>
      <w:r>
        <w:t xml:space="preserve"> </w:t>
      </w:r>
      <w:r>
        <w:rPr>
          <w:i/>
        </w:rPr>
        <w:t xml:space="preserve">et al.</w:t>
      </w:r>
      <w:r>
        <w:t xml:space="preserve">, 2013; Schubert</w:t>
      </w:r>
      <w:r>
        <w:t xml:space="preserve"> </w:t>
      </w:r>
      <w:r>
        <w:rPr>
          <w:i/>
        </w:rPr>
        <w:t xml:space="preserve">et al.</w:t>
      </w:r>
      <w:r>
        <w:t xml:space="preserve">, 2012), and it allows the recovery of endogenous sequences in a complex system (i.e., metagenomic shotgun sequence datasets) (Maixner</w:t>
      </w:r>
      <w:r>
        <w:t xml:space="preserve"> </w:t>
      </w:r>
      <w:r>
        <w:rPr>
          <w:i/>
        </w:rPr>
        <w:t xml:space="preserve">et al.</w:t>
      </w:r>
      <w:r>
        <w:t xml:space="preserve">, 2016). However, due to the stringency of this approach, it recovers highly conserved regions of the genome, and this hinders the ability to find regions that have greatly changed through time between the target organism and the used reference (Hofreiter</w:t>
      </w:r>
      <w:r>
        <w:t xml:space="preserve"> </w:t>
      </w:r>
      <w:r>
        <w:rPr>
          <w:i/>
        </w:rPr>
        <w:t xml:space="preserve">et al.</w:t>
      </w:r>
      <w:r>
        <w:t xml:space="preserve">, 2015). Moreover, the amount of sequence recovered is highly dependent on the availability, quality, and choice of the sequence used as a reference, and the divergence and the heterogeneity of the target organism. Mapping assembly algorithms are affected by DNA damage patterns which result in lower yields of coverage, as reads are mapped with lower confidence, and in some cases allow reads to artificially map to other genomic locations with similar composition or the introduction of non-endogenous reads (Schubert</w:t>
      </w:r>
      <w:r>
        <w:t xml:space="preserve"> </w:t>
      </w:r>
      <w:r>
        <w:rPr>
          <w:i/>
        </w:rPr>
        <w:t xml:space="preserve">et al.</w:t>
      </w:r>
      <w:r>
        <w:t xml:space="preserve">, 2012). The most widely used algorithm in aDNA studies is the Burrows-Wheelers Aligner (BWA), which specializes in short fragment mapping (Li and Durbin, 2009; Orlando</w:t>
      </w:r>
      <w:r>
        <w:t xml:space="preserve"> </w:t>
      </w:r>
      <w:r>
        <w:rPr>
          <w:i/>
        </w:rPr>
        <w:t xml:space="preserve">et al.</w:t>
      </w:r>
      <w:r>
        <w:t xml:space="preserve">, 2015). In 2012, Schubert</w:t>
      </w:r>
      <w:r>
        <w:t xml:space="preserve"> </w:t>
      </w:r>
      <w:r>
        <w:rPr>
          <w:i/>
        </w:rPr>
        <w:t xml:space="preserve">et al.</w:t>
      </w:r>
      <w:r>
        <w:t xml:space="preserve"> </w:t>
      </w:r>
      <w:r>
        <w:t xml:space="preserve">explored a series of parameters to improve the mapping of aDNA reads to modern reference genomes. In this survey, they showed that by deactivating the use of a seed region and increasing tolerance to higher edit distances, it was possible to increase the number of high-quality endogenous hits recovered, albeit in low proportions for Illumina data (Schubert</w:t>
      </w:r>
      <w:r>
        <w:t xml:space="preserve"> </w:t>
      </w:r>
      <w:r>
        <w:rPr>
          <w:i/>
        </w:rPr>
        <w:t xml:space="preserve">et al.</w:t>
      </w:r>
      <w:r>
        <w:t xml:space="preserve">, 2012). Since then, these findings have been used by the aDNA community as the gold standard for mapping assembly. In contrast, the de novo assembly approach has only been successful in reconstructing an ancient microbial genome under very special circumstances (Schuenemann</w:t>
      </w:r>
      <w:r>
        <w:t xml:space="preserve"> </w:t>
      </w:r>
      <w:r>
        <w:rPr>
          <w:i/>
        </w:rPr>
        <w:t xml:space="preserve">et al.</w:t>
      </w:r>
      <w:r>
        <w:t xml:space="preserve">, 2013, [and Yersinia pestis]). As this method does not depend on a reference sequence, it allows (in theory) a less biased reconstruction. The main disadvantage of the method is that it is highly dependant on the quality of the dataset, as the low fragment length and the presence of non-endogenous sequences complicate a de novo reconstruction (Westbury</w:t>
      </w:r>
      <w:r>
        <w:t xml:space="preserve"> </w:t>
      </w:r>
      <w:r>
        <w:rPr>
          <w:i/>
        </w:rPr>
        <w:t xml:space="preserve">et al.</w:t>
      </w:r>
      <w:r>
        <w:t xml:space="preserve">, 2017).</w:t>
      </w:r>
    </w:p>
    <w:p>
      <w:pPr>
        <w:pStyle w:val="BodyText"/>
      </w:pPr>
      <w:r>
        <w:t xml:space="preserve">In addition to reference-based mapping and de novo assembly, other methods have been developed to assemble small genomes. These include reference guided assembly, which makes use of the advantages of de novo assembly to reconstruct contigs that could contain highly variable regions, and a known reference sequence as a scaffold to locate the most likely positions for these contigs (Rajaraman</w:t>
      </w:r>
      <w:r>
        <w:t xml:space="preserve"> </w:t>
      </w:r>
      <w:r>
        <w:rPr>
          <w:i/>
        </w:rPr>
        <w:t xml:space="preserve">et al.</w:t>
      </w:r>
      <w:r>
        <w:t xml:space="preserve">, 2013). Another novel method is iterative mapping. This method uses an initial mapping or de novo step to create self-standing reference sequences that will be cyclically extended via a reference mapping approach until no more new reads can be added (REF). This method has been used successfully to reconstruct mitochondrial sequences, with the advantage of not having to rely on a full genomic reference sequence and be able to work on complex datasets (metagenomics) (Hahn</w:t>
      </w:r>
      <w:r>
        <w:t xml:space="preserve"> </w:t>
      </w:r>
      <w:r>
        <w:rPr>
          <w:i/>
        </w:rPr>
        <w:t xml:space="preserve">et al.</w:t>
      </w:r>
      <w:r>
        <w:t xml:space="preserve">, 2013; Westbury</w:t>
      </w:r>
      <w:r>
        <w:t xml:space="preserve"> </w:t>
      </w:r>
      <w:r>
        <w:rPr>
          <w:i/>
        </w:rPr>
        <w:t xml:space="preserve">et al.</w:t>
      </w:r>
      <w:r>
        <w:t xml:space="preserve">, 2017).</w:t>
      </w:r>
    </w:p>
    <w:p>
      <w:pPr>
        <w:pStyle w:val="BodyText"/>
      </w:pPr>
      <w:r>
        <w:t xml:space="preserve">Reconstructing microbial genomes presents certain advantages, as they count with small haploid genomes, which allow for reduced mapping/assembly times compared to higher organisms; however, some disadvantages also need to be considered. Ancient bacterial genome reconstruction represents a challenge due to lower yields of coverage derived from post-mortem damage. Other complications include genetic heterogeneity, a higher genetic divergence from modern organisms, lateral gene transfer, lower presence in samples and contamination. Many different strategies have been used in palaeomicrobiology studies to reconstruct whole genome information (</w:t>
      </w:r>
      <w:r>
        <w:rPr>
          <w:b/>
        </w:rPr>
        <w:t xml:space="preserve">Table 01</w:t>
      </w:r>
      <w:r>
        <w:t xml:space="preserve">). Nevertheless, to our knowledge, no formal comparison of different genome reconstruction approaches has been conducted, nor has the impact of post-mortem aDNA damage on the reconstruction of genomes from microorganisms been investigated. Therefore it is essential to explore how different conditions found on aDNA, such as short read sizes, DNA damage, and genomic divergence, and contaminant reads affect the mappability of aDNA reads and the reconstruction of microbial genomes. In this study, we compare three different approaches for whole-genome reconstruction of microbial genomes on simulated datasets showing ancient DNA damage profiles and contaminant sequences. We identified biases presented by each approach and propose possible ways to avoid them. Finally, we apply these approaches to real data to provide X% better genome coverage of Methanobrevibacter oralis neandertalensis, the oldest microbial ancient genome reported to date, reconstructed using conventional methods for the field.</w:t>
      </w:r>
    </w:p>
    <w:p>
      <w:pPr>
        <w:pStyle w:val="Heading2"/>
      </w:pPr>
      <w:bookmarkStart w:id="24" w:name="section"/>
      <w:bookmarkEnd w:id="24"/>
    </w:p>
    <w:tbl>
      <w:tblPr>
        <w:tblStyle w:val="TableNormal"/>
        <w:tblW w:type="pct" w:w="3333.3333333333335"/>
        <w:tblLook w:firstRow="1"/>
      </w:tblPr>
      <w:tblGrid>
        <w:gridCol w:w="770"/>
        <w:gridCol w:w="1100"/>
        <w:gridCol w:w="2970"/>
        <w:gridCol w:w="440"/>
      </w:tblGrid>
      <w:tr>
        <w:trPr>
          <w:cnfStyle w:firstRow="1"/>
        </w:trPr>
        <w:tc>
          <w:tcPr>
            <w:tcBorders>
              <w:bottom w:val="single"/>
            </w:tcBorders>
            <w:vAlign w:val="bottom"/>
          </w:tcPr>
          <w:p>
            <w:pPr>
              <w:pStyle w:val="Compact"/>
              <w:jc w:val="left"/>
            </w:pPr>
            <w:r>
              <w:t xml:space="preserve">Study/Date</w:t>
            </w:r>
          </w:p>
        </w:tc>
        <w:tc>
          <w:tcPr>
            <w:tcBorders>
              <w:bottom w:val="single"/>
            </w:tcBorders>
            <w:vAlign w:val="bottom"/>
          </w:tcPr>
          <w:p>
            <w:pPr>
              <w:pStyle w:val="Compact"/>
              <w:jc w:val="left"/>
            </w:pPr>
            <w:r>
              <w:t xml:space="preserve">Organism</w:t>
            </w:r>
          </w:p>
        </w:tc>
        <w:tc>
          <w:tcPr>
            <w:tcBorders>
              <w:bottom w:val="single"/>
            </w:tcBorders>
            <w:vAlign w:val="bottom"/>
          </w:tcPr>
          <w:p>
            <w:pPr>
              <w:pStyle w:val="Compact"/>
              <w:jc w:val="left"/>
            </w:pPr>
            <w:r>
              <w:t xml:space="preserve">Genome Reconstruction Approach</w:t>
            </w:r>
          </w:p>
        </w:tc>
        <w:tc>
          <w:tcPr>
            <w:tcBorders>
              <w:bottom w:val="single"/>
            </w:tcBorders>
            <w:vAlign w:val="bottom"/>
          </w:tcPr>
          <w:p>
            <w:pPr>
              <w:pStyle w:val="Compact"/>
              <w:jc w:val="left"/>
            </w:pPr>
            <w:r>
              <w:t xml:space="preserve">Platform</w:t>
            </w:r>
          </w:p>
        </w:tc>
      </w:tr>
      <w:tr>
        <w:tc>
          <w:p>
            <w:pPr>
              <w:pStyle w:val="Compact"/>
              <w:jc w:val="left"/>
            </w:pPr>
            <w:r>
              <w:t xml:space="preserve">Bos et al., 2011</w:t>
            </w:r>
          </w:p>
        </w:tc>
        <w:tc>
          <w:p>
            <w:pPr>
              <w:pStyle w:val="Compact"/>
              <w:jc w:val="left"/>
            </w:pPr>
            <w:r>
              <w:t xml:space="preserve">Yersinia pestis</w:t>
            </w:r>
          </w:p>
        </w:tc>
        <w:tc>
          <w:p>
            <w:pPr>
              <w:pStyle w:val="Compact"/>
              <w:jc w:val="left"/>
            </w:pPr>
            <w:r>
              <w:t xml:space="preserve">BWA default parameters</w:t>
            </w:r>
          </w:p>
        </w:tc>
        <w:tc>
          <w:p>
            <w:pPr>
              <w:pStyle w:val="Compact"/>
              <w:jc w:val="left"/>
            </w:pPr>
            <w:r>
              <w:t xml:space="preserve">Illumina</w:t>
            </w:r>
          </w:p>
        </w:tc>
      </w:tr>
      <w:tr>
        <w:tc>
          <w:p>
            <w:pPr>
              <w:pStyle w:val="Compact"/>
              <w:jc w:val="left"/>
            </w:pPr>
            <w:r>
              <w:t xml:space="preserve">Wagner et al., 2014</w:t>
            </w:r>
          </w:p>
        </w:tc>
        <w:tc>
          <w:p>
            <w:pPr>
              <w:pStyle w:val="Compact"/>
              <w:jc w:val="left"/>
            </w:pPr>
            <w:r>
              <w:t xml:space="preserve">Yersinia pestis</w:t>
            </w:r>
          </w:p>
        </w:tc>
        <w:tc>
          <w:p>
            <w:pPr>
              <w:pStyle w:val="Compact"/>
              <w:jc w:val="left"/>
            </w:pPr>
            <w:r>
              <w:t xml:space="preserve">BWA -n 0.15 -o 2</w:t>
            </w:r>
          </w:p>
        </w:tc>
        <w:tc>
          <w:p>
            <w:pPr>
              <w:pStyle w:val="Compact"/>
              <w:jc w:val="left"/>
            </w:pPr>
            <w:r>
              <w:rPr>
                <w:i/>
              </w:rPr>
              <w:t xml:space="preserve">Illumina?</w:t>
            </w:r>
          </w:p>
        </w:tc>
      </w:tr>
      <w:tr>
        <w:tc>
          <w:p>
            <w:pPr>
              <w:pStyle w:val="Compact"/>
              <w:jc w:val="left"/>
            </w:pPr>
            <w:r>
              <w:t xml:space="preserve">Rasmussen et al., 2015b</w:t>
            </w:r>
          </w:p>
        </w:tc>
        <w:tc>
          <w:p>
            <w:pPr>
              <w:pStyle w:val="Compact"/>
              <w:jc w:val="left"/>
            </w:pPr>
            <w:r>
              <w:t xml:space="preserve">Yersinia pestis</w:t>
            </w:r>
          </w:p>
        </w:tc>
        <w:tc>
          <w:p>
            <w:pPr>
              <w:pStyle w:val="Compact"/>
              <w:jc w:val="left"/>
            </w:pPr>
            <w:r>
              <w:t xml:space="preserve">BWA mem first and then BWA aln disabled seed</w:t>
            </w:r>
          </w:p>
        </w:tc>
        <w:tc>
          <w:p>
            <w:pPr>
              <w:pStyle w:val="Compact"/>
              <w:jc w:val="left"/>
            </w:pPr>
            <w:r>
              <w:t xml:space="preserve">Illumina</w:t>
            </w:r>
          </w:p>
        </w:tc>
      </w:tr>
      <w:tr>
        <w:tc>
          <w:p>
            <w:pPr>
              <w:pStyle w:val="Compact"/>
              <w:jc w:val="left"/>
            </w:pPr>
            <w:r>
              <w:t xml:space="preserve">Bos et al., 2016</w:t>
            </w:r>
          </w:p>
        </w:tc>
        <w:tc>
          <w:p>
            <w:pPr>
              <w:pStyle w:val="Compact"/>
              <w:jc w:val="left"/>
            </w:pPr>
            <w:r>
              <w:t xml:space="preserve">Yersinia pestis</w:t>
            </w:r>
          </w:p>
        </w:tc>
        <w:tc>
          <w:p>
            <w:pPr>
              <w:pStyle w:val="Compact"/>
              <w:jc w:val="left"/>
            </w:pPr>
            <w:r>
              <w:t xml:space="preserve">BWA -n 0.1; BWA -n 0.15 -o 2 (Wagner); BWA mem</w:t>
            </w:r>
          </w:p>
        </w:tc>
        <w:tc>
          <w:p>
            <w:pPr>
              <w:pStyle w:val="Compact"/>
              <w:jc w:val="left"/>
            </w:pPr>
            <w:r>
              <w:t xml:space="preserve">Illumina</w:t>
            </w:r>
          </w:p>
        </w:tc>
      </w:tr>
      <w:tr>
        <w:tc>
          <w:p>
            <w:pPr>
              <w:pStyle w:val="Compact"/>
              <w:jc w:val="left"/>
            </w:pPr>
            <w:r>
              <w:t xml:space="preserve">Feldman et al., 2016</w:t>
            </w:r>
          </w:p>
        </w:tc>
        <w:tc>
          <w:p>
            <w:pPr>
              <w:pStyle w:val="Compact"/>
              <w:jc w:val="left"/>
            </w:pPr>
            <w:r>
              <w:t xml:space="preserve">Yersinia pestis</w:t>
            </w:r>
          </w:p>
        </w:tc>
        <w:tc>
          <w:p>
            <w:pPr>
              <w:pStyle w:val="Compact"/>
              <w:jc w:val="left"/>
            </w:pPr>
            <w:r>
              <w:t xml:space="preserve">BWA -n 0.1</w:t>
            </w:r>
          </w:p>
        </w:tc>
        <w:tc>
          <w:p>
            <w:pPr>
              <w:pStyle w:val="Compact"/>
              <w:jc w:val="left"/>
            </w:pPr>
            <w:r>
              <w:t xml:space="preserve">Illumina</w:t>
            </w:r>
          </w:p>
        </w:tc>
      </w:tr>
      <w:tr>
        <w:tc>
          <w:p>
            <w:pPr>
              <w:pStyle w:val="Compact"/>
              <w:jc w:val="left"/>
            </w:pPr>
            <w:r>
              <w:t xml:space="preserve">Schuenemann et al., 2013</w:t>
            </w:r>
          </w:p>
        </w:tc>
        <w:tc>
          <w:p>
            <w:pPr>
              <w:pStyle w:val="Compact"/>
              <w:jc w:val="left"/>
            </w:pPr>
            <w:r>
              <w:t xml:space="preserve">Mycobacterium leprae</w:t>
            </w:r>
          </w:p>
        </w:tc>
        <w:tc>
          <w:p>
            <w:pPr>
              <w:pStyle w:val="Compact"/>
              <w:jc w:val="left"/>
            </w:pPr>
            <w:r>
              <w:t xml:space="preserve">-de novo assembly SOAPdenovo (k=127); BWA samse default parameters; Bowtie2 mapping mode “very sensitive” (-D 20 -R 3 -N 0 -L 20 -i S,1,0.50), permitted mismatches=1"</w:t>
            </w:r>
          </w:p>
        </w:tc>
        <w:tc>
          <w:p>
            <w:pPr>
              <w:pStyle w:val="Compact"/>
              <w:jc w:val="left"/>
            </w:pPr>
            <w:r>
              <w:t xml:space="preserve">Illumina</w:t>
            </w:r>
          </w:p>
        </w:tc>
      </w:tr>
      <w:tr>
        <w:tc>
          <w:p>
            <w:pPr>
              <w:pStyle w:val="Compact"/>
              <w:jc w:val="left"/>
            </w:pPr>
            <w:r>
              <w:t xml:space="preserve">Mendum et al., 2014</w:t>
            </w:r>
          </w:p>
        </w:tc>
        <w:tc>
          <w:p>
            <w:pPr>
              <w:pStyle w:val="Compact"/>
              <w:jc w:val="left"/>
            </w:pPr>
            <w:r>
              <w:t xml:space="preserve">Mycobacterium leprae</w:t>
            </w:r>
          </w:p>
        </w:tc>
        <w:tc>
          <w:p>
            <w:pPr>
              <w:pStyle w:val="Compact"/>
              <w:jc w:val="left"/>
            </w:pPr>
            <w:r>
              <w:t xml:space="preserve">-Bowtie2; BWA</w:t>
            </w:r>
          </w:p>
        </w:tc>
        <w:tc>
          <w:p>
            <w:pPr>
              <w:pStyle w:val="Compact"/>
              <w:jc w:val="left"/>
            </w:pPr>
            <w:r>
              <w:t xml:space="preserve">Illumina</w:t>
            </w:r>
          </w:p>
        </w:tc>
      </w:tr>
      <w:tr>
        <w:tc>
          <w:p>
            <w:pPr>
              <w:pStyle w:val="Compact"/>
              <w:jc w:val="left"/>
            </w:pPr>
            <w:r>
              <w:t xml:space="preserve">Devault et al., 2014</w:t>
            </w:r>
          </w:p>
        </w:tc>
        <w:tc>
          <w:p>
            <w:pPr>
              <w:pStyle w:val="Compact"/>
              <w:jc w:val="left"/>
            </w:pPr>
            <w:r>
              <w:t xml:space="preserve">Vibrio cholerae</w:t>
            </w:r>
          </w:p>
        </w:tc>
        <w:tc>
          <w:p>
            <w:pPr>
              <w:pStyle w:val="Compact"/>
              <w:jc w:val="left"/>
            </w:pPr>
            <w:r>
              <w:t xml:space="preserve">BWA default parameters</w:t>
            </w:r>
          </w:p>
        </w:tc>
        <w:tc>
          <w:p>
            <w:pPr>
              <w:pStyle w:val="Compact"/>
              <w:jc w:val="left"/>
            </w:pPr>
            <w:r>
              <w:t xml:space="preserve">Illumina</w:t>
            </w:r>
          </w:p>
        </w:tc>
      </w:tr>
      <w:tr>
        <w:tc>
          <w:p>
            <w:pPr>
              <w:pStyle w:val="Compact"/>
              <w:jc w:val="left"/>
            </w:pPr>
            <w:r>
              <w:t xml:space="preserve">Bos et al., 2014</w:t>
            </w:r>
          </w:p>
        </w:tc>
        <w:tc>
          <w:p>
            <w:pPr>
              <w:pStyle w:val="Compact"/>
              <w:jc w:val="left"/>
            </w:pPr>
            <w:r>
              <w:t xml:space="preserve">Mycobacterium tuberculosis</w:t>
            </w:r>
          </w:p>
        </w:tc>
        <w:tc>
          <w:p>
            <w:pPr>
              <w:pStyle w:val="Compact"/>
              <w:jc w:val="left"/>
            </w:pPr>
            <w:r>
              <w:t xml:space="preserve">BWA sampe/samse default parameters; BWA -n 0.1"</w:t>
            </w:r>
          </w:p>
        </w:tc>
        <w:tc>
          <w:p>
            <w:pPr>
              <w:pStyle w:val="Compact"/>
              <w:jc w:val="left"/>
            </w:pPr>
            <w:r>
              <w:t xml:space="preserve">Illumina</w:t>
            </w:r>
          </w:p>
        </w:tc>
      </w:tr>
      <w:tr>
        <w:tc>
          <w:p>
            <w:pPr>
              <w:pStyle w:val="Compact"/>
              <w:jc w:val="left"/>
            </w:pPr>
            <w:r>
              <w:t xml:space="preserve">Kay et al., 2015</w:t>
            </w:r>
          </w:p>
        </w:tc>
        <w:tc>
          <w:p>
            <w:pPr>
              <w:pStyle w:val="Compact"/>
              <w:jc w:val="left"/>
            </w:pPr>
            <w:r>
              <w:t xml:space="preserve">Mycobacterium tuberculosis</w:t>
            </w:r>
          </w:p>
        </w:tc>
        <w:tc>
          <w:p>
            <w:pPr>
              <w:pStyle w:val="Compact"/>
              <w:jc w:val="left"/>
            </w:pPr>
            <w:r>
              <w:t xml:space="preserve">Bowtie2 --mp 1,1 --ignore-quals --score-min L,0,-0.03</w:t>
            </w:r>
          </w:p>
        </w:tc>
        <w:tc>
          <w:p>
            <w:pPr>
              <w:pStyle w:val="Compact"/>
              <w:jc w:val="left"/>
            </w:pPr>
            <w:r>
              <w:t xml:space="preserve">Illumina</w:t>
            </w:r>
          </w:p>
        </w:tc>
      </w:tr>
      <w:tr>
        <w:tc>
          <w:p>
            <w:pPr>
              <w:pStyle w:val="Compact"/>
              <w:jc w:val="left"/>
            </w:pPr>
            <w:r>
              <w:t xml:space="preserve">Maixner et al., 2014</w:t>
            </w:r>
          </w:p>
        </w:tc>
        <w:tc>
          <w:p>
            <w:pPr>
              <w:pStyle w:val="Compact"/>
              <w:jc w:val="left"/>
            </w:pPr>
            <w:r>
              <w:t xml:space="preserve">Treponema denticola</w:t>
            </w:r>
          </w:p>
        </w:tc>
        <w:tc>
          <w:p>
            <w:pPr>
              <w:pStyle w:val="Compact"/>
              <w:jc w:val="left"/>
            </w:pPr>
            <w:r>
              <w:t xml:space="preserve">SHRiMP -n 2 -i 6 -report 1</w:t>
            </w:r>
          </w:p>
        </w:tc>
        <w:tc>
          <w:p>
            <w:pPr>
              <w:pStyle w:val="Compact"/>
              <w:jc w:val="left"/>
            </w:pPr>
            <w:r>
              <w:t xml:space="preserve">SOLID</w:t>
            </w:r>
          </w:p>
        </w:tc>
      </w:tr>
      <w:tr>
        <w:tc>
          <w:p>
            <w:pPr>
              <w:pStyle w:val="Compact"/>
              <w:jc w:val="left"/>
            </w:pPr>
            <w:r>
              <w:t xml:space="preserve">Maixner et al., 2016</w:t>
            </w:r>
          </w:p>
        </w:tc>
        <w:tc>
          <w:p>
            <w:pPr>
              <w:pStyle w:val="Compact"/>
              <w:jc w:val="left"/>
            </w:pPr>
            <w:r>
              <w:t xml:space="preserve">Helicobacter pylori</w:t>
            </w:r>
          </w:p>
        </w:tc>
        <w:tc>
          <w:p>
            <w:pPr>
              <w:pStyle w:val="Compact"/>
              <w:jc w:val="left"/>
            </w:pPr>
            <w:r>
              <w:t xml:space="preserve">BWA -n 0.001</w:t>
            </w:r>
          </w:p>
        </w:tc>
        <w:tc>
          <w:p>
            <w:pPr>
              <w:pStyle w:val="Compact"/>
              <w:jc w:val="left"/>
            </w:pPr>
            <w:r>
              <w:t xml:space="preserve">Illumina</w:t>
            </w:r>
          </w:p>
        </w:tc>
      </w:tr>
      <w:tr>
        <w:tc>
          <w:p>
            <w:pPr>
              <w:pStyle w:val="Compact"/>
              <w:jc w:val="left"/>
            </w:pPr>
            <w:r>
              <w:t xml:space="preserve">Kay et al., 2014</w:t>
            </w:r>
          </w:p>
        </w:tc>
        <w:tc>
          <w:p>
            <w:pPr>
              <w:pStyle w:val="Compact"/>
              <w:jc w:val="left"/>
            </w:pPr>
            <w:r>
              <w:t xml:space="preserve">Brucella melitensis</w:t>
            </w:r>
          </w:p>
        </w:tc>
        <w:tc>
          <w:p>
            <w:pPr>
              <w:pStyle w:val="Compact"/>
              <w:jc w:val="left"/>
            </w:pPr>
            <w:r>
              <w:t xml:space="preserve">Bowtie2 --mp 1,1; --ignore-quals; --score-min L,0, −0.033</w:t>
            </w:r>
          </w:p>
        </w:tc>
        <w:tc>
          <w:p>
            <w:pPr>
              <w:pStyle w:val="Compact"/>
              <w:jc w:val="left"/>
            </w:pPr>
            <w:r>
              <w:t xml:space="preserve">Illumina</w:t>
            </w:r>
          </w:p>
        </w:tc>
      </w:tr>
      <w:tr>
        <w:tc>
          <w:p>
            <w:pPr>
              <w:pStyle w:val="Compact"/>
              <w:jc w:val="left"/>
            </w:pPr>
            <w:r>
              <w:t xml:space="preserve">Weyrich et al., 2017</w:t>
            </w:r>
          </w:p>
        </w:tc>
        <w:tc>
          <w:p>
            <w:pPr>
              <w:pStyle w:val="Compact"/>
              <w:jc w:val="left"/>
            </w:pPr>
            <w:r>
              <w:t xml:space="preserve">Methanobrevibacter oralis subsp. neandertalensis</w:t>
            </w:r>
          </w:p>
        </w:tc>
        <w:tc>
          <w:p>
            <w:pPr>
              <w:pStyle w:val="Compact"/>
              <w:jc w:val="left"/>
            </w:pPr>
            <w:r>
              <w:t xml:space="preserve">BWA -l 1024 -n 0.01 -o 1 (no seed, one gap opening, relaxed edit distance)</w:t>
            </w:r>
          </w:p>
        </w:tc>
        <w:tc>
          <w:p>
            <w:pPr>
              <w:pStyle w:val="Compact"/>
              <w:jc w:val="left"/>
            </w:pPr>
            <w:r>
              <w:t xml:space="preserve">Illumina</w:t>
            </w:r>
          </w:p>
        </w:tc>
      </w:tr>
    </w:tbl>
    <w:p>
      <w:pPr>
        <w:pStyle w:val="BlockText"/>
      </w:pPr>
      <w:r>
        <w:rPr>
          <w:b/>
        </w:rPr>
        <w:t xml:space="preserve">Table 01</w:t>
      </w:r>
      <w:r>
        <w:t xml:space="preserve">. Whole-genome reconstruction approaches used in palaeomicrobiology.</w:t>
      </w:r>
    </w:p>
    <w:p>
      <w:r>
        <w:pict>
          <v:rect style="width:0;height:1.5pt" o:hralign="center" o:hrstd="t" o:hr="t"/>
        </w:pict>
      </w:r>
    </w:p>
    <w:p>
      <w:pPr>
        <w:pStyle w:val="Heading1"/>
      </w:pPr>
      <w:bookmarkStart w:id="25" w:name="results"/>
      <w:bookmarkEnd w:id="25"/>
      <w:r>
        <w:t xml:space="preserve">RESULTS</w:t>
      </w:r>
    </w:p>
    <w:p>
      <w:pPr>
        <w:pStyle w:val="FirstParagraph"/>
      </w:pPr>
      <w:r>
        <w:t xml:space="preserve">In this study, we compared three different approaches for reconstructing microbial genomes from ancient DNA and explored how they are affected by characteristics commonly found in ancient metagenomic datasets. We used the genomic reference sequence of Streptococcus mutans UA159 and simulated insertions, deletions, and substitutions on it at five increasing levels to generate five target genomes with variable divergence levels. We included each target genome in three different contexts of contamination (No-Contamination (</w:t>
      </w:r>
      <w:r>
        <w:rPr>
          <w:b/>
        </w:rPr>
        <w:t xml:space="preserve">0C100E</w:t>
      </w:r>
      <w:r>
        <w:t xml:space="preserve">); Inter-species Contamination (</w:t>
      </w:r>
      <w:r>
        <w:rPr>
          <w:b/>
        </w:rPr>
        <w:t xml:space="preserve">90C10E</w:t>
      </w:r>
      <w:r>
        <w:t xml:space="preserve">); Intra-genera Contamination (</w:t>
      </w:r>
      <w:r>
        <w:rPr>
          <w:b/>
        </w:rPr>
        <w:t xml:space="preserve">80Smu20E</w:t>
      </w:r>
      <w:r>
        <w:t xml:space="preserve">)), and simulated reads with ancient damage profiles at three levels of deamination (0.1, 0.3, 0.5), for a total of 45 read pools. Then, we used reference mapping, reference assisted de novo assembly, and iterative mapping approaches to reconstruct the original target genomes from each pool.</w:t>
      </w:r>
    </w:p>
    <w:p>
      <w:pPr>
        <w:pStyle w:val="BodyText"/>
      </w:pPr>
      <w:r>
        <w:t xml:space="preserve">In the reference mapping approach, we used the original genomic sequence of</w:t>
      </w:r>
      <w:r>
        <w:t xml:space="preserve"> </w:t>
      </w:r>
      <w:r>
        <w:rPr>
          <w:i/>
        </w:rPr>
        <w:t xml:space="preserve">S. mutans</w:t>
      </w:r>
      <w:r>
        <w:t xml:space="preserve"> </w:t>
      </w:r>
      <w:r>
        <w:t xml:space="preserve">UA159 as a reference and mapped reads with</w:t>
      </w:r>
      <w:r>
        <w:t xml:space="preserve"> </w:t>
      </w:r>
      <w:r>
        <w:rPr>
          <w:i/>
        </w:rPr>
        <w:t xml:space="preserve">MIRA</w:t>
      </w:r>
      <w:r>
        <w:t xml:space="preserve"> </w:t>
      </w:r>
      <w:r>
        <w:t xml:space="preserve">(using default parameters specific for Illumina reads) and the programs</w:t>
      </w:r>
      <w:r>
        <w:t xml:space="preserve"> </w:t>
      </w:r>
      <w:r>
        <w:rPr>
          <w:i/>
        </w:rPr>
        <w:t xml:space="preserve">Bowtie2</w:t>
      </w:r>
      <w:r>
        <w:t xml:space="preserve"> </w:t>
      </w:r>
      <w:r>
        <w:t xml:space="preserve">and</w:t>
      </w:r>
      <w:r>
        <w:t xml:space="preserve"> </w:t>
      </w:r>
      <w:r>
        <w:rPr>
          <w:i/>
        </w:rPr>
        <w:t xml:space="preserve">BWA</w:t>
      </w:r>
      <w:r>
        <w:t xml:space="preserve"> </w:t>
      </w:r>
      <w:r>
        <w:t xml:space="preserve">(using three different sets of parameters, including parameters optimized for aDNA). In the reference assisted assembly, we generated contigs</w:t>
      </w:r>
      <w:r>
        <w:t xml:space="preserve"> </w:t>
      </w:r>
      <w:r>
        <w:rPr>
          <w:i/>
        </w:rPr>
        <w:t xml:space="preserve">de novo</w:t>
      </w:r>
      <w:r>
        <w:t xml:space="preserve"> </w:t>
      </w:r>
      <w:r>
        <w:t xml:space="preserve">using Velvet (v.1.2.10) through VelvetOptimiser (v2.2.5) and mapped the resulting contigs to the reference with the previously mentioned mappers and set of parameters. Finally, in the iterative mapping approach, we used MITObim with mapping and</w:t>
      </w:r>
      <w:r>
        <w:t xml:space="preserve"> </w:t>
      </w:r>
      <w:r>
        <w:rPr>
          <w:i/>
        </w:rPr>
        <w:t xml:space="preserve">de novo</w:t>
      </w:r>
      <w:r>
        <w:t xml:space="preserve"> </w:t>
      </w:r>
      <w:r>
        <w:t xml:space="preserve">initial steps, and different values for allowed mismatches. The resulting bam alignments were filtered by mapping quality (MQ&gt;=30), and consensus files were called using samtools (v.1.3.1)/bcftools (v.1.3.1). For MIRA and MITObim, we used the final ungapped</w:t>
      </w:r>
      <w:r>
        <w:t xml:space="preserve"> </w:t>
      </w:r>
      <w:r>
        <w:rPr>
          <w:i/>
        </w:rPr>
        <w:t xml:space="preserve">FASTA</w:t>
      </w:r>
      <w:r>
        <w:t xml:space="preserve"> </w:t>
      </w:r>
      <w:r>
        <w:t xml:space="preserve">consensus sequence generated by these programs. We took the final consensus sequences of each approach and divided them into "consensus contigs" wherever we found more than five consecutive uncalled bases (N's). Finally, we aligned the "consensus contigs" of each approach to their original target genomes and evaluated the resulting reconstructions using the QUalitative Assessment Tool (QUAST).</w:t>
      </w:r>
    </w:p>
    <w:p>
      <w:r>
        <w:pict>
          <v:rect style="width:0;height:1.5pt" o:hralign="center" o:hrstd="t" o:hr="t"/>
        </w:pict>
      </w:r>
    </w:p>
    <w:p>
      <w:pPr>
        <w:pStyle w:val="Heading2"/>
      </w:pPr>
      <w:bookmarkStart w:id="26" w:name="target-genome-reconstructions"/>
      <w:bookmarkEnd w:id="26"/>
      <w:r>
        <w:t xml:space="preserve">TARGET GENOME RECONSTRUCTIONS</w:t>
      </w:r>
    </w:p>
    <w:p>
      <w:pPr>
        <w:pStyle w:val="Heading3"/>
      </w:pPr>
      <w:bookmarkStart w:id="27" w:name="alignment-coveragegenome-fraction-recovered"/>
      <w:bookmarkEnd w:id="27"/>
      <w:r>
        <w:t xml:space="preserve">Alignment coverage/Genome fraction recovered</w:t>
      </w:r>
    </w:p>
    <w:p>
      <w:pPr>
        <w:pStyle w:val="FirstParagraph"/>
      </w:pPr>
      <w:r>
        <w:t xml:space="preserve">We define</w:t>
      </w:r>
      <w:r>
        <w:t xml:space="preserve"> </w:t>
      </w:r>
      <w:r>
        <w:rPr>
          <w:i/>
        </w:rPr>
        <w:t xml:space="preserve">genome fraction recovered</w:t>
      </w:r>
      <w:r>
        <w:t xml:space="preserve"> </w:t>
      </w:r>
      <w:r>
        <w:t xml:space="preserve">as the percentage of the genomic sequence of the target genome covered by the alignment of consensus contigs.</w:t>
      </w:r>
      <w:r>
        <w:t xml:space="preserve"> </w:t>
      </w:r>
      <w:r>
        <w:rPr>
          <w:b/>
        </w:rPr>
        <w:t xml:space="preserve">Figure #</w:t>
      </w:r>
      <w:r>
        <w:t xml:space="preserve"> </w:t>
      </w:r>
      <w:r>
        <w:t xml:space="preserve">compares the alignment coverage of the five target genomes with the different tools and conditions.</w:t>
      </w:r>
    </w:p>
    <w:p>
      <w:pPr>
        <w:pStyle w:val="BodyText"/>
      </w:pPr>
      <w:r>
        <w:drawing>
          <wp:inline>
            <wp:extent cx="5334000" cy="3556000"/>
            <wp:effectExtent b="0" l="0" r="0" t="0"/>
            <wp:docPr descr="" title="" id="1" name="Picture"/>
            <a:graphic>
              <a:graphicData uri="http://schemas.openxmlformats.org/drawingml/2006/picture">
                <pic:pic>
                  <pic:nvPicPr>
                    <pic:cNvPr descr="Chapter_II_Summary_Figures_files/figure-docx/Genome%20Fraction%20Percentage%20-1.png"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29" w:name="contamination"/>
      <w:bookmarkEnd w:id="29"/>
      <w:r>
        <w:t xml:space="preserve">CONTAMINATION</w:t>
      </w:r>
    </w:p>
    <w:p>
      <w:pPr>
        <w:pStyle w:val="Heading2"/>
      </w:pPr>
      <w:bookmarkStart w:id="30" w:name="mapping-efficiency"/>
      <w:bookmarkEnd w:id="30"/>
      <w:r>
        <w:t xml:space="preserve">Mapping efficiency</w:t>
      </w:r>
    </w:p>
    <w:p>
      <w:pPr>
        <w:pStyle w:val="FirstParagraph"/>
      </w:pPr>
      <w:r>
        <w:t xml:space="preserve">As a measurement of efficiency (</w:t>
      </w:r>
      <w:r>
        <w:rPr>
          <w:i/>
        </w:rPr>
        <w:t xml:space="preserve">sensitivity</w:t>
      </w:r>
      <w:r>
        <w:t xml:space="preserve">), we calculated the number of endogenous reads recovered by the Reference Mapping and Iterative Mapping approaches.</w:t>
      </w:r>
      <w:r>
        <w:t xml:space="preserve"> </w:t>
      </w:r>
      <w:r>
        <w:rPr>
          <w:b/>
        </w:rPr>
        <w:t xml:space="preserve">Figure #</w:t>
      </w:r>
      <w:r>
        <w:t xml:space="preserve"> </w:t>
      </w:r>
      <w:r>
        <w:t xml:space="preserve">shows the percentage of endogenous reads mapped with high confidence (MQ&gt;=30) from the total endogenous reads available in each pool. We calculated this value as the proportion of mapped reads originated from the target genomes and with mapping quality equal or greater than 30, from the total number of simulated reads generated from that target genome. This measure allows us to compare how much 'real' information could be recovered with the different methods and tools at all levels of divergence, contamination, and deamination. The amount of endogenous information that the mapping approaches were able to recover is significantly affected by the divergence between the reference genome used, and the target genome reads. Notably,</w:t>
      </w:r>
      <w:r>
        <w:t xml:space="preserve"> </w:t>
      </w:r>
      <w:r>
        <w:rPr>
          <w:i/>
        </w:rPr>
        <w:t xml:space="preserve">MIRA</w:t>
      </w:r>
      <w:r>
        <w:t xml:space="preserve"> </w:t>
      </w:r>
      <w:r>
        <w:t xml:space="preserve">allows the recovery of most of the endogenous reads available and is the mapping approach that is less affected by divergence. From the other mappers analyzed,</w:t>
      </w:r>
      <w:r>
        <w:t xml:space="preserve"> </w:t>
      </w:r>
      <w:r>
        <w:rPr>
          <w:i/>
        </w:rPr>
        <w:t xml:space="preserve">BWA mem</w:t>
      </w:r>
      <w:r>
        <w:t xml:space="preserve"> </w:t>
      </w:r>
      <w:r>
        <w:t xml:space="preserve">is the second best approach, allowing the recovery of the highest number of reads on all the divergence levels, and recovering almost three times more endogenous reads than the next approach (</w:t>
      </w:r>
      <w:r>
        <w:rPr>
          <w:i/>
        </w:rPr>
        <w:t xml:space="preserve">BWA aDNA</w:t>
      </w:r>
      <w:r>
        <w:t xml:space="preserve">) in the highest level of divergence. The approaches based on</w:t>
      </w:r>
      <w:r>
        <w:t xml:space="preserve"> </w:t>
      </w:r>
      <w:r>
        <w:rPr>
          <w:i/>
        </w:rPr>
        <w:t xml:space="preserve">Bowtie2</w:t>
      </w:r>
      <w:r>
        <w:t xml:space="preserve"> </w:t>
      </w:r>
      <w:r>
        <w:t xml:space="preserve">recovered the lowest amount of endogenous reads, with</w:t>
      </w:r>
      <w:r>
        <w:t xml:space="preserve"> </w:t>
      </w:r>
      <w:r>
        <w:rPr>
          <w:i/>
        </w:rPr>
        <w:t xml:space="preserve">Bowtie2 aDNA</w:t>
      </w:r>
      <w:r>
        <w:t xml:space="preserve"> </w:t>
      </w:r>
      <w:r>
        <w:t xml:space="preserve">being the worst performer. Notably, the deamination level does not appear to have a significant effect on the number of reads that the approaches based on</w:t>
      </w:r>
      <w:r>
        <w:t xml:space="preserve"> </w:t>
      </w:r>
      <w:r>
        <w:rPr>
          <w:i/>
        </w:rPr>
        <w:t xml:space="preserve">BWA</w:t>
      </w:r>
      <w:r>
        <w:t xml:space="preserve"> </w:t>
      </w:r>
      <w:r>
        <w:t xml:space="preserve">were able to map, but it does affect the</w:t>
      </w:r>
      <w:r>
        <w:t xml:space="preserve"> </w:t>
      </w:r>
      <w:r>
        <w:rPr>
          <w:i/>
        </w:rPr>
        <w:t xml:space="preserve">Bowtie2</w:t>
      </w:r>
      <w:r>
        <w:t xml:space="preserve"> </w:t>
      </w:r>
      <w:r>
        <w:t xml:space="preserve">approaches, with</w:t>
      </w:r>
      <w:r>
        <w:t xml:space="preserve"> </w:t>
      </w:r>
      <w:r>
        <w:rPr>
          <w:i/>
        </w:rPr>
        <w:t xml:space="preserve">Bowtie2 aDNA</w:t>
      </w:r>
      <w:r>
        <w:t xml:space="preserve"> </w:t>
      </w:r>
      <w:r>
        <w:t xml:space="preserve">being the most affected by increases in cytosine deamination. Among the iterative approaches, the ones with an initial mapping step were able to recover a more considerable amount of endogenous reads, even at the highest level of divergence, and the levels of deamination did not seem to have a significant impact on them. However, as expected, the most restrictive iterative approach, which did not allow for mismatches at all(</w:t>
      </w:r>
      <w:r>
        <w:rPr>
          <w:i/>
        </w:rPr>
        <w:t xml:space="preserve">MITObim0</w:t>
      </w:r>
      <w:r>
        <w:t xml:space="preserve">), was the worst performer and was greatly affected by increasing levels of deamination. On the other hand, the ones including a</w:t>
      </w:r>
      <w:r>
        <w:t xml:space="preserve"> </w:t>
      </w:r>
      <w:r>
        <w:rPr>
          <w:i/>
        </w:rPr>
        <w:t xml:space="preserve">de novo</w:t>
      </w:r>
      <w:r>
        <w:t xml:space="preserve"> </w:t>
      </w:r>
      <w:r>
        <w:t xml:space="preserve">assembly step were able to recover only about 60% of all the endogenous reads available in the first four levels of divergence (similar to the approach</w:t>
      </w:r>
      <w:r>
        <w:t xml:space="preserve"> </w:t>
      </w:r>
      <w:r>
        <w:rPr>
          <w:i/>
        </w:rPr>
        <w:t xml:space="preserve">MITObim0</w:t>
      </w:r>
      <w:r>
        <w:t xml:space="preserve">) and less than 25% in the highest level of divergence.</w:t>
      </w:r>
    </w:p>
    <w:p>
      <w:pPr>
        <w:pStyle w:val="Heading4"/>
        <w:pStyle w:val="BlockText"/>
      </w:pPr>
      <w:bookmarkStart w:id="31" w:name="figure-.--percentage-endogenous-reads-mapped-with-mq30-from-total-endogenous-reads-available"/>
      <w:bookmarkEnd w:id="31"/>
      <w:r>
        <w:rPr>
          <w:b/>
        </w:rPr>
        <w:t xml:space="preserve">Figure #.-</w:t>
      </w:r>
      <w:r>
        <w:t xml:space="preserve"> </w:t>
      </w:r>
      <w:r>
        <w:t xml:space="preserve">PERCENTAGE ENDOGENOUS READS MAPPED WITH MQ&gt;=30 FROM TOTAL ENDOGENOUS READS AVAILABLE</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Mapping%20Efficiency-1.png"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Mapping%20Efficiency-2.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Mapping%20Efficiency-3.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r>
        <w:pict>
          <v:rect style="width:0;height:1.5pt" o:hralign="center" o:hrstd="t" o:hr="t"/>
        </w:pict>
      </w:r>
    </w:p>
    <w:p>
      <w:pPr>
        <w:pStyle w:val="Heading2"/>
      </w:pPr>
      <w:bookmarkStart w:id="35" w:name="mapping-accuracy"/>
      <w:bookmarkEnd w:id="35"/>
      <w:r>
        <w:t xml:space="preserve">Mapping Accuracy</w:t>
      </w:r>
    </w:p>
    <w:p>
      <w:pPr>
        <w:pStyle w:val="FirstParagraph"/>
      </w:pPr>
      <w:r>
        <w:t xml:space="preserve">As a measurement of the accuracy of the Reference Mapping and Iterative Mapping approaches, we calculated the proportion of non-endogenous reads mapped with high-confidence (MQ&gt;=30) from the total amount of mapped reads with mapping quality 30. This value gives us an idea of how much 'contamination' could be added from other genomes, even after filtering by mapping quality. As expected, we observed that the type of contamination has a substantial impact on the number of non-endogenous reads recovered, with the dataset composed of closely related species being the most affected across all tools and methods. The iterative approach is the most affected, allowing the introduction of more than 2% of non-endogenous reads in the 'metagenomic' dataset, and more than 10% when highly related species are present, and the divergence between the reference and the target genome is the highest. From the mapping approach,</w:t>
      </w:r>
      <w:r>
        <w:t xml:space="preserve"> </w:t>
      </w:r>
      <w:r>
        <w:rPr>
          <w:i/>
        </w:rPr>
        <w:t xml:space="preserve">MIRA</w:t>
      </w:r>
      <w:r>
        <w:t xml:space="preserve"> </w:t>
      </w:r>
      <w:r>
        <w:t xml:space="preserve">is the most affected mapper, followed by</w:t>
      </w:r>
      <w:r>
        <w:t xml:space="preserve"> </w:t>
      </w:r>
      <w:r>
        <w:rPr>
          <w:i/>
        </w:rPr>
        <w:t xml:space="preserve">BWA mem</w:t>
      </w:r>
      <w:r>
        <w:t xml:space="preserve">. The approaches using</w:t>
      </w:r>
      <w:r>
        <w:t xml:space="preserve"> </w:t>
      </w:r>
      <w:r>
        <w:rPr>
          <w:i/>
        </w:rPr>
        <w:t xml:space="preserve">Bowtie2</w:t>
      </w:r>
      <w:r>
        <w:t xml:space="preserve"> </w:t>
      </w:r>
      <w:r>
        <w:t xml:space="preserve">performed the best and only included around 6% non-endogenous reads when highly similar reads were present, and the divergence was the highest. Again, the impact of deamination in the reads was not significant.</w:t>
      </w:r>
    </w:p>
    <w:p>
      <w:pPr>
        <w:pStyle w:val="Heading4"/>
        <w:pStyle w:val="BlockText"/>
      </w:pPr>
      <w:bookmarkStart w:id="36" w:name="figure-.--percentage-of-non-endogenous-reads-mapped-with-mq30-from-total-reads-mapped-with-mq30."/>
      <w:bookmarkEnd w:id="36"/>
      <w:r>
        <w:rPr>
          <w:b/>
        </w:rPr>
        <w:t xml:space="preserve">Figure #.-</w:t>
      </w:r>
      <w:r>
        <w:t xml:space="preserve"> </w:t>
      </w:r>
      <w:r>
        <w:t xml:space="preserve">PERCENTAGE OF NON-ENDOGENOUS READS MAPPED WITH MQ&gt;=30 FROM TOTAL READS MAPPED WITH MQ30.</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1-1.pn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unnamed-chunk-1-2.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Chapter_II_Summary_Figures_files/figure-docx/unnamed-chunk-1-3.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40" w:name="effects-of-divergence"/>
      <w:bookmarkEnd w:id="40"/>
      <w:r>
        <w:rPr>
          <w:b/>
        </w:rPr>
        <w:t xml:space="preserve">Effects of Divergence</w:t>
      </w:r>
    </w:p>
    <w:p>
      <w:pPr>
        <w:pStyle w:val="Heading3"/>
      </w:pPr>
      <w:bookmarkStart w:id="41" w:name="effects-of-contamination"/>
      <w:bookmarkEnd w:id="41"/>
      <w:r>
        <w:rPr>
          <w:b/>
        </w:rPr>
        <w:t xml:space="preserve">Effects of Contamination</w:t>
      </w:r>
    </w:p>
    <w:p>
      <w:pPr>
        <w:pStyle w:val="Heading2"/>
      </w:pPr>
      <w:bookmarkStart w:id="42" w:name="effects-of-damage-profiles"/>
      <w:bookmarkEnd w:id="42"/>
      <w:r>
        <w:t xml:space="preserve">###</w:t>
      </w:r>
      <w:r>
        <w:t xml:space="preserve"> </w:t>
      </w:r>
      <w:r>
        <w:rPr>
          <w:b/>
        </w:rPr>
        <w:t xml:space="preserve">Effects of Damage profiles</w:t>
      </w:r>
    </w:p>
    <w:p>
      <w:r>
        <w:pict>
          <v:rect style="width:0;height:1.5pt" o:hralign="center" o:hrstd="t" o:hr="t"/>
        </w:pict>
      </w:r>
    </w:p>
    <w:p>
      <w:r>
        <w:pict>
          <v:rect style="width:0;height:1.5pt" o:hralign="center" o:hrstd="t" o:hr="t"/>
        </w:pict>
      </w:r>
    </w:p>
    <w:p>
      <w:pPr>
        <w:pStyle w:val="Heading4"/>
      </w:pPr>
      <w:bookmarkStart w:id="43" w:name="coverage-genome-fraction-percent-total-aligned-length"/>
      <w:bookmarkEnd w:id="43"/>
      <w:r>
        <w:t xml:space="preserve">COVERAGE, GENOME FRACTION PERCENT, TOTAL ALIGNED LENGTH</w:t>
      </w:r>
    </w:p>
    <w:p>
      <w:pPr>
        <w:pStyle w:val="FirstParagraph"/>
      </w:pPr>
      <w:r>
        <w:t xml:space="preserve">Number of base pairs covered with mapping quality MQ&gt;=30 accross three methods and the different tools used on each.</w:t>
      </w:r>
    </w:p>
    <w:p>
      <w:pPr>
        <w:pStyle w:val="Compact"/>
        <w:numPr>
          <w:numId w:val="1001"/>
          <w:ilvl w:val="0"/>
        </w:numPr>
      </w:pPr>
      <w:r>
        <w:t xml:space="preserve">Coverage is calculated by counting every position with depth of coverage equal o greater than 1.</w:t>
      </w:r>
    </w:p>
    <w:p>
      <w:pPr>
        <w:pStyle w:val="Compact"/>
        <w:numPr>
          <w:numId w:val="1001"/>
          <w:ilvl w:val="0"/>
        </w:numPr>
      </w:pPr>
      <w:r>
        <w:t xml:space="preserve">Genome Fraction percent is the percentage of aligned bases in the target genome covered by aligning the resulting "contigs" of the consensus sequence generated for each alignment.</w:t>
      </w:r>
      <w:r>
        <w:t xml:space="preserve"> </w:t>
      </w:r>
    </w:p>
    <w:p>
      <w:pPr>
        <w:pStyle w:val="Compact"/>
        <w:numPr>
          <w:numId w:val="1001"/>
          <w:ilvl w:val="0"/>
        </w:numPr>
      </w:pPr>
      <w:r>
        <w:t xml:space="preserve">Total aligned lenght is the toal number of aligned bases in the assembly</w:t>
      </w:r>
    </w:p>
    <w:p>
      <w:pPr>
        <w:pStyle w:val="SourceCode"/>
      </w:pPr>
      <w:r>
        <w:rPr>
          <w:rStyle w:val="VerbatimChar"/>
        </w:rPr>
        <w:t xml:space="preserve">## Warning: Removed 12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Coverage-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Coverage-2.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Coverage-3.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47" w:name="depth-of-coverage"/>
      <w:bookmarkEnd w:id="47"/>
      <w:r>
        <w:t xml:space="preserve">DEPTH OF COVERAGE</w:t>
      </w:r>
    </w:p>
    <w:p>
      <w:pPr>
        <w:pStyle w:val="FirstParagraph"/>
      </w:pPr>
      <w:r>
        <w:t xml:space="preserve">Depth of coverage is calculated with samtools, and is the average of the depth of coverage across the full length of the genome.</w:t>
      </w:r>
    </w:p>
    <w:p>
      <w:pPr>
        <w:pStyle w:val="SourceCode"/>
      </w:pPr>
      <w:r>
        <w:rPr>
          <w:rStyle w:val="VerbatimChar"/>
        </w:rPr>
        <w:t xml:space="preserve">## Warning: Removed 12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depthcoverage-1.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9" w:name="quast-statistics"/>
      <w:bookmarkEnd w:id="49"/>
      <w:r>
        <w:t xml:space="preserve">QUAST Statistics</w:t>
      </w:r>
    </w:p>
    <w:p>
      <w:pPr>
        <w:pStyle w:val="Heading4"/>
      </w:pPr>
      <w:bookmarkStart w:id="50" w:name="number-of-mismatches"/>
      <w:bookmarkEnd w:id="50"/>
      <w:r>
        <w:t xml:space="preserve">NUMBER OF MISMATCHES</w:t>
      </w:r>
    </w:p>
    <w:p>
      <w:pPr>
        <w:pStyle w:val="FirstParagraph"/>
      </w:pPr>
      <w:r>
        <w:t xml:space="preserve">Using QUAST we aligned the resulting consensus contigs of each approach and evaluated the reconstruction.</w:t>
      </w:r>
    </w:p>
    <w:p>
      <w:pPr>
        <w:pStyle w:val="Compact"/>
        <w:numPr>
          <w:numId w:val="1002"/>
          <w:ilvl w:val="0"/>
        </w:numPr>
      </w:pPr>
      <w:r>
        <w:rPr>
          <w:b/>
        </w:rPr>
        <w:t xml:space="preserve">Mismatches</w:t>
      </w:r>
      <w:r>
        <w:t xml:space="preserve">: Number of mismatches in all alligned bases.</w:t>
      </w:r>
    </w:p>
    <w:p>
      <w:pPr>
        <w:pStyle w:val="Compact"/>
        <w:numPr>
          <w:numId w:val="1002"/>
          <w:ilvl w:val="0"/>
        </w:numPr>
      </w:pPr>
      <w:r>
        <w:rPr>
          <w:b/>
        </w:rPr>
        <w:t xml:space="preserve">Mismatches per 100kbp</w:t>
      </w:r>
      <w:r>
        <w:t xml:space="preserve">:Average number of indels per 100,000 alinged bases. True SNPs and sequencing errors are not distinguished and are counted equally.</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mismatches%20-1.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mismatches%20-2.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53" w:name="ns-per-100k-bases-aligned"/>
      <w:bookmarkEnd w:id="53"/>
      <w:r>
        <w:t xml:space="preserve">N's per 100k bases aligned</w:t>
      </w:r>
    </w:p>
    <w:p>
      <w:pPr>
        <w:pStyle w:val="FirstParagraph"/>
      </w:pPr>
      <w:r>
        <w:t xml:space="preserve">Total number of uncalled bases (N's) in the assembly</w:t>
      </w:r>
    </w:p>
    <w:p>
      <w:pPr>
        <w:pStyle w:val="BodyText"/>
      </w:pPr>
      <w:r>
        <w:drawing>
          <wp:inline>
            <wp:extent cx="5334000" cy="3556000"/>
            <wp:effectExtent b="0" l="0" r="0" t="0"/>
            <wp:docPr descr="" title="" id="1" name="Picture"/>
            <a:graphic>
              <a:graphicData uri="http://schemas.openxmlformats.org/drawingml/2006/picture">
                <pic:pic>
                  <pic:nvPicPr>
                    <pic:cNvPr descr="Chapter_II_Summary_Figures_files/figure-docx/Ns-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55" w:name="indels"/>
      <w:bookmarkEnd w:id="55"/>
      <w:r>
        <w:t xml:space="preserve">INDELS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indels-1.png" id="0"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indels-2.png"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58" w:name="combinations"/>
      <w:bookmarkEnd w:id="58"/>
      <w:r>
        <w:t xml:space="preserve">COMBINATIONS</w:t>
      </w:r>
    </w:p>
    <w:p>
      <w:pPr>
        <w:pStyle w:val="Heading4"/>
      </w:pPr>
      <w:bookmarkStart w:id="59" w:name="genome-fraction-percentage-vs-mismatches-accuracy"/>
      <w:bookmarkEnd w:id="59"/>
      <w:r>
        <w:t xml:space="preserve">GENOME FRACTION PERCENTAGE vs MISMATCHES (Accuracy)</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2-1.png" id="0"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2-2.png" id="0" name="Picture"/>
                    <pic:cNvPicPr>
                      <a:picLocks noChangeArrowheads="1" noChangeAspect="1"/>
                    </pic:cNvPicPr>
                  </pic:nvPicPr>
                  <pic:blipFill>
                    <a:blip r:embed="rId6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62" w:name="genome-fraction-percentage-vs-indels"/>
      <w:bookmarkEnd w:id="62"/>
      <w:r>
        <w:t xml:space="preserve">GENOME FRACTION PERCENTAGE vs INDELS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3-1.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3-2.png" id="0" name="Picture"/>
                    <pic:cNvPicPr>
                      <a:picLocks noChangeArrowheads="1" noChangeAspect="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4"/>
      </w:pPr>
      <w:bookmarkStart w:id="65" w:name="genome-fraction-percentage-vs-ns"/>
      <w:bookmarkEnd w:id="65"/>
      <w:r>
        <w:t xml:space="preserve">GENOME FRACTION PERCENTAGE vs N's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1.png" id="0"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position_dodge requires non-overlapping x intervals</w:t>
      </w:r>
    </w:p>
    <w:p>
      <w:pPr>
        <w:pStyle w:val="SourceCode"/>
      </w:pP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2.pn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position_dodge requires non-overlapping x intervals</w:t>
      </w:r>
    </w:p>
    <w:p>
      <w:pPr>
        <w:pStyle w:val="SourceCode"/>
      </w:pP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r>
        <w:br w:type="textWrapping"/>
      </w:r>
      <w:r>
        <w:rPr>
          <w:rStyle w:val="VerbatimChar"/>
        </w:rPr>
        <w:t xml:space="preserve"/>
      </w:r>
      <w:r>
        <w:br w:type="textWrapping"/>
      </w:r>
      <w:r>
        <w:rPr>
          <w:rStyle w:val="VerbatimChar"/>
        </w:rPr>
        <w:t xml:space="preserve">## Warning: position_dodge requires non-overlapping x intervals</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3.pn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4.pn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5.pn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6.png" id="0" name="Picture"/>
                    <pic:cNvPicPr>
                      <a:picLocks noChangeArrowheads="1" noChangeAspect="1"/>
                    </pic:cNvPicPr>
                  </pic:nvPicPr>
                  <pic:blipFill>
                    <a:blip r:embed="rId7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7.png" id="0"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8.png" id="0" name="Picture"/>
                    <pic:cNvPicPr>
                      <a:picLocks noChangeArrowheads="1" noChangeAspect="1"/>
                    </pic:cNvPicPr>
                  </pic:nvPicPr>
                  <pic:blipFill>
                    <a:blip r:embed="rId73"/>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11 rows containing missing values (geom_point).</w:t>
      </w:r>
    </w:p>
    <w:p>
      <w:pPr>
        <w:pStyle w:val="FirstParagraph"/>
      </w:pPr>
      <w:r>
        <w:drawing>
          <wp:inline>
            <wp:extent cx="5334000" cy="3556000"/>
            <wp:effectExtent b="0" l="0" r="0" t="0"/>
            <wp:docPr descr="" title="" id="1" name="Picture"/>
            <a:graphic>
              <a:graphicData uri="http://schemas.openxmlformats.org/drawingml/2006/picture">
                <pic:pic>
                  <pic:nvPicPr>
                    <pic:cNvPr descr="Chapter_II_Summary_Figures_files/figure-docx/unnamed-chunk-4-9.png"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1"/>
      </w:pPr>
      <w:bookmarkStart w:id="75" w:name="methods"/>
      <w:bookmarkEnd w:id="75"/>
      <w:r>
        <w:t xml:space="preserve">METHODS</w:t>
      </w:r>
    </w:p>
    <w:p>
      <w:pPr>
        <w:pStyle w:val="Heading3"/>
      </w:pPr>
      <w:bookmarkStart w:id="76" w:name="simulated-datasets"/>
      <w:bookmarkEnd w:id="76"/>
      <w:r>
        <w:rPr>
          <w:b/>
        </w:rPr>
        <w:t xml:space="preserve">Simulated Datasets</w:t>
      </w:r>
    </w:p>
    <w:p>
      <w:pPr>
        <w:pStyle w:val="FirstParagraph"/>
      </w:pPr>
      <w:r>
        <w:t xml:space="preserve">In this study we used three simulated datasets to evaluate different strategies used for whole genome reconstruction of ancient microbial organisms. These datasets contained reads simulating different conditions observed on ancient DNA data, such as genomic divergence to reference sequence, aDNA damage profiles, and contamination context.</w:t>
      </w:r>
    </w:p>
    <w:p>
      <w:pPr>
        <w:pStyle w:val="Heading4"/>
      </w:pPr>
      <w:bookmarkStart w:id="77" w:name="divergence-simulation"/>
      <w:bookmarkEnd w:id="77"/>
      <w:r>
        <w:t xml:space="preserve">Divergence Simulation</w:t>
      </w:r>
    </w:p>
    <w:p>
      <w:pPr>
        <w:pStyle w:val="FirstParagraph"/>
      </w:pPr>
      <w:r>
        <w:t xml:space="preserve">To explore the effect of sequence dissimilarity, we selected the genome of the human-associated bacteria</w:t>
      </w:r>
      <w:r>
        <w:t xml:space="preserve"> </w:t>
      </w:r>
      <w:r>
        <w:rPr>
          <w:i/>
        </w:rPr>
        <w:t xml:space="preserve">Streptococcus mutans</w:t>
      </w:r>
      <w:r>
        <w:t xml:space="preserve"> </w:t>
      </w:r>
      <w:r>
        <w:t xml:space="preserve">UA159 (Ajdić</w:t>
      </w:r>
      <w:r>
        <w:t xml:space="preserve"> </w:t>
      </w:r>
      <w:r>
        <w:rPr>
          <w:i/>
        </w:rPr>
        <w:t xml:space="preserve">et al.</w:t>
      </w:r>
      <w:r>
        <w:t xml:space="preserve">, 2002) as our model organism. Using the tool msbar from the EMBOSS package (v6.5.7.0;</w:t>
      </w:r>
      <w:r>
        <w:t xml:space="preserve"> </w:t>
      </w:r>
      <w:hyperlink r:id="rId78">
        <w:r>
          <w:rPr>
            <w:rStyle w:val="Hyperlink"/>
          </w:rPr>
          <w:t xml:space="preserve">https://github.com/pjotrp/EMBOSS</w:t>
        </w:r>
      </w:hyperlink>
      <w:r>
        <w:t xml:space="preserve">), we mutated the original reference sequence with a combination of substitutions, duplications, insertions and deletions to create a total of five target genomes with different divergence levels. Changes were introduced randomly as point (1), codon (3), or blocks with minimum size 1 and maximum size 10. The first target genome, denominated “None”, served as a control and contained zero genomic changes. For the two “low divergence” genomes, we allowed the introduction of ~0.0006% (1,120/2,030,936) and 0.002% (3,790/2,030,936) genomic changes respectively, equivalent to the range of expected changes accumulated in 10,000 years, calculated by multiplying the mutation rate (0.112–0.379 substitutions/genome/year) estimated experimentally for bacteria (Cornejo</w:t>
      </w:r>
      <w:r>
        <w:t xml:space="preserve"> </w:t>
      </w:r>
      <w:r>
        <w:rPr>
          <w:i/>
        </w:rPr>
        <w:t xml:space="preserve">et al.</w:t>
      </w:r>
      <w:r>
        <w:t xml:space="preserve">, 2013; Ochman, 2003) [Scott</w:t>
      </w:r>
      <w:r>
        <w:t xml:space="preserve"> </w:t>
      </w:r>
      <w:r>
        <w:rPr>
          <w:i/>
        </w:rPr>
        <w:t xml:space="preserve">et al.</w:t>
      </w:r>
      <w:r>
        <w:t xml:space="preserve">, 2008]. For the two “high divergence” genomes we allowed the introduction of 0.3% (6,092) and 3%(60,928) (see Figure 01).</w:t>
      </w:r>
    </w:p>
    <w:p>
      <w:pPr>
        <w:pStyle w:val="Heading4"/>
      </w:pPr>
      <w:bookmarkStart w:id="79" w:name="contamination-context-and-damage-profile-simulation"/>
      <w:bookmarkEnd w:id="79"/>
      <w:r>
        <w:t xml:space="preserve">Contamination context and damage profile simulation</w:t>
      </w:r>
    </w:p>
    <w:p>
      <w:pPr>
        <w:pStyle w:val="FirstParagraph"/>
      </w:pPr>
      <w:r>
        <w:t xml:space="preserve">To explore the effect of non-endogenous sequences on the reconstruction of whole genomic sequence we prepared three datasets with different contamination profiles and used gargammel (Renaud</w:t>
      </w:r>
      <w:r>
        <w:t xml:space="preserve"> </w:t>
      </w:r>
      <w:r>
        <w:rPr>
          <w:i/>
        </w:rPr>
        <w:t xml:space="preserve">et al.</w:t>
      </w:r>
      <w:r>
        <w:t xml:space="preserve">, 2017) (</w:t>
      </w:r>
      <w:hyperlink r:id="rId80">
        <w:r>
          <w:rPr>
            <w:rStyle w:val="Hyperlink"/>
          </w:rPr>
          <w:t xml:space="preserve">https://github.com/grenaud/gargammel</w:t>
        </w:r>
      </w:hyperlink>
      <w:r>
        <w:t xml:space="preserve">) to generate simulated Illumina pair end reads with aDNA damage profiles (i.e. cytosine deamination and short sequence lengths).</w:t>
      </w:r>
    </w:p>
    <w:p>
      <w:pPr>
        <w:numPr>
          <w:numId w:val="1003"/>
          <w:ilvl w:val="0"/>
        </w:numPr>
      </w:pPr>
      <w:r>
        <w:t xml:space="preserve">Dataset 1: Reconstruction of Genomes without contamination</w:t>
      </w:r>
    </w:p>
    <w:p>
      <w:pPr>
        <w:numPr>
          <w:numId w:val="1000"/>
          <w:ilvl w:val="0"/>
        </w:numPr>
      </w:pPr>
      <w:r>
        <w:t xml:space="preserve">To establish the baseline efficiency of the methods in a contamination-free scenario, we used the five target genomes with different divergence levels and simulated on each three levels of cytosine deamination (i.e. 0.1, 0.3, 0.5), for a total of 15 subsets. Each subset contained only endogenous pair-end sequences of the target genomes at a depth of coverage of 5X.</w:t>
      </w:r>
    </w:p>
    <w:p>
      <w:pPr>
        <w:numPr>
          <w:numId w:val="1003"/>
          <w:ilvl w:val="0"/>
        </w:numPr>
      </w:pPr>
      <w:r>
        <w:t xml:space="preserve">Dataset 2: Reconstruction of genomes with contamination (Metagenomic | interspecific)</w:t>
      </w:r>
    </w:p>
    <w:p>
      <w:pPr>
        <w:numPr>
          <w:numId w:val="1000"/>
          <w:ilvl w:val="0"/>
        </w:numPr>
      </w:pPr>
      <w:r>
        <w:t xml:space="preserve">To simulate background microbial contamination from a metagenomic context and to evaluate the effect of non-endogenous reads on the reconstruction of bacterial genomes, we generated simulated Illumina pair-end reads with aDNA damage profiles of each target genome plus 47 bacterial genomes (28 of those found in the Human Oral Microbiome) from 11 different Phyla (Table 03). Each subset contained simulated reads of the target genomes at a 5X depth of coverage equivalent to a 10% of the total reads, and 90% non-endogenous reads.</w:t>
      </w:r>
    </w:p>
    <w:p>
      <w:pPr>
        <w:numPr>
          <w:numId w:val="1003"/>
          <w:ilvl w:val="0"/>
        </w:numPr>
      </w:pPr>
      <w:r>
        <w:t xml:space="preserve">Dataset 3: Reconstruction of genomes with contamination of similar species</w:t>
      </w:r>
    </w:p>
    <w:p>
      <w:pPr>
        <w:numPr>
          <w:numId w:val="1000"/>
          <w:ilvl w:val="0"/>
        </w:numPr>
      </w:pPr>
      <w:r>
        <w:t xml:space="preserve">We generated a dataset with 13 bacterial genomes from the genus Streptococcus (Table 04) to evaluate the ability of these approaches to reconstruct the original target genomes when intra-specific contamination is present. Each dataset contained simulated sequencing data with aDNA damage profiles and a composition of 80% non-endogenous reads and 20% endogenous reads, equivalent to a 5X depth of coverage of the target genomes.</w:t>
      </w:r>
    </w:p>
    <w:p>
      <w:pPr>
        <w:pStyle w:val="FirstParagraph"/>
      </w:pPr>
      <w:r>
        <w:t xml:space="preserve">Finally, we used AdapterRemoval (v2.2.0,</w:t>
      </w:r>
      <w:r>
        <w:t xml:space="preserve"> </w:t>
      </w:r>
      <w:hyperlink r:id="rId81">
        <w:r>
          <w:rPr>
            <w:rStyle w:val="Hyperlink"/>
          </w:rPr>
          <w:t xml:space="preserve">https://github.com/MikkelSchubert/adapterremoval</w:t>
        </w:r>
      </w:hyperlink>
      <w:r>
        <w:t xml:space="preserve">) to collapse reads and remove adapters, allowing a minimal length of 25, minimal quality of 4, and minimum alignment length of 11.</w:t>
      </w:r>
    </w:p>
    <w:p>
      <w:pPr>
        <w:pStyle w:val="Heading3"/>
      </w:pPr>
      <w:bookmarkStart w:id="82" w:name="genome-reconstruction-approaches"/>
      <w:bookmarkEnd w:id="82"/>
      <w:r>
        <w:t xml:space="preserve">Genome Reconstruction Approaches</w:t>
      </w:r>
    </w:p>
    <w:p>
      <w:pPr>
        <w:pStyle w:val="FirstParagraph"/>
      </w:pPr>
      <w:r>
        <w:t xml:space="preserve">We tested three different approaches for whole genome reconstruction: reference mapping assembly; reference guided de novo assembly; and iterative mapping. For the mapping assembly approach we used the programs BWA and Bowtie2, each with different parameters combinations used in published palaeomicrobiology studies (Table 01 &amp; 02), and the original genomic sequence of Streptococcus mutans UA159 as the reference sequence. For the reference assisted de novo assembly approach we used VelvetOptimiser with kmer sizes 21-45 to create contigs de novo, and used the same algorithms of the reference mapping approach to map the resulting contigs to the reference sequence of S. mutans UA159. Finally for the iterative mapping approach we used MIRA 4 to create an initial mapping assembly to the reference sequence and MITObim (v1.9) to iteratively map reads, and MITObim (v1.9) with denovo assembly parameters.</w:t>
      </w:r>
    </w:p>
    <w:p>
      <w:pPr>
        <w:pStyle w:val="Compact"/>
        <w:numPr>
          <w:numId w:val="1004"/>
          <w:ilvl w:val="0"/>
        </w:numPr>
      </w:pPr>
      <w:r>
        <w:t xml:space="preserve">we changed the number of mismatches allowed by MITObim to check the stringency...</w:t>
      </w:r>
    </w:p>
    <w:p>
      <w:pPr>
        <w:pStyle w:val="Heading3"/>
      </w:pPr>
      <w:bookmarkStart w:id="83" w:name="evaluation-and-comparison-stats"/>
      <w:bookmarkEnd w:id="83"/>
      <w:r>
        <w:t xml:space="preserve">Evaluation and Comparison Stats</w:t>
      </w:r>
    </w:p>
    <w:p>
      <w:pPr>
        <w:pStyle w:val="FirstParagraph"/>
      </w:pPr>
      <w:r>
        <w:t xml:space="preserve">To evaluate the performance of the different approaches for whole genome assembly we used three main parameters: Percentage of original sequence recovered, Fidelity of the recovered sequence to the original genome, and the ratio of non-endogenous reads vs. endogenous reads.</w:t>
      </w:r>
    </w:p>
    <w:p>
      <w:pPr>
        <w:pStyle w:val="BodyText"/>
      </w:pPr>
      <w:r>
        <w:t xml:space="preserve">For the reference mapping and reference guided de novo assembly, we used samtools to filter reads with mapping quality &lt;=30 and to calculate basic mapping statistics (Coverage, Depth of Coverage, Number of sequences mapped, etc.).</w:t>
      </w:r>
      <w:r>
        <w:t xml:space="preserve"> </w:t>
      </w:r>
      <w:r>
        <w:t xml:space="preserve">We removed duplicates using picard tools and generated a consensus sequence fasta file using bcftools.</w:t>
      </w:r>
      <w:r>
        <w:t xml:space="preserve"> </w:t>
      </w:r>
      <w:r>
        <w:t xml:space="preserve">We split the consensus sequence in “contigs” whenever we found more than 5 “N”.</w:t>
      </w:r>
      <w:r>
        <w:t xml:space="preserve"> </w:t>
      </w:r>
      <w:r>
        <w:t xml:space="preserve">We used these “contigs” to evaluate the assembly using the Quality ASsesment Tool for genome assemblies (QUAST) and the original target genomes.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16f02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6de793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hyperlink" Id="rId81" Target="https://github.com/MikkelSchubert/adapterremoval" TargetMode="External" /><Relationship Type="http://schemas.openxmlformats.org/officeDocument/2006/relationships/hyperlink" Id="rId80" Target="https://github.com/grenaud/gargammel" TargetMode="External" /><Relationship Type="http://schemas.openxmlformats.org/officeDocument/2006/relationships/hyperlink" Id="rId78" Target="https://github.com/pjotrp/EMBOSS" TargetMode="External" /></Relationships>
</file>

<file path=word/_rels/footnotes.xml.rels><?xml version="1.0" encoding="UTF-8"?>
<Relationships xmlns="http://schemas.openxmlformats.org/package/2006/relationships"><Relationship Type="http://schemas.openxmlformats.org/officeDocument/2006/relationships/hyperlink" Id="rId81" Target="https://github.com/MikkelSchubert/adapterremoval" TargetMode="External" /><Relationship Type="http://schemas.openxmlformats.org/officeDocument/2006/relationships/hyperlink" Id="rId80" Target="https://github.com/grenaud/gargammel" TargetMode="External" /><Relationship Type="http://schemas.openxmlformats.org/officeDocument/2006/relationships/hyperlink" Id="rId78" Target="https://github.com/pjotrp/EMBOS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II: Methods for Microbial Genome Reconstruction from Ancient DNA</dc:title>
  <dc:creator>Luis A. Arriola</dc:creator>
  <dcterms:created xsi:type="dcterms:W3CDTF">2017-11-03T01:35:11Z</dcterms:created>
  <dcterms:modified xsi:type="dcterms:W3CDTF">2017-11-03T01:35:11Z</dcterms:modified>
</cp:coreProperties>
</file>